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A57" w:rsidRPr="00E94A57" w:rsidRDefault="001E550E" w:rsidP="00E94A57">
      <w:pPr>
        <w:pStyle w:val="Heading1"/>
        <w:spacing w:before="0" w:after="200"/>
        <w:jc w:val="center"/>
        <w:rPr>
          <w:sz w:val="52"/>
          <w:szCs w:val="52"/>
        </w:rPr>
      </w:pPr>
      <w:bookmarkStart w:id="0" w:name="_Toc372539410"/>
      <w:r>
        <w:rPr>
          <w:sz w:val="52"/>
          <w:szCs w:val="52"/>
        </w:rPr>
        <w:t xml:space="preserve">Guidance on Management of Outbreaks </w:t>
      </w:r>
      <w:bookmarkEnd w:id="0"/>
      <w:r>
        <w:rPr>
          <w:sz w:val="52"/>
          <w:szCs w:val="52"/>
        </w:rPr>
        <w:t>of Sexually Transmitted Infections</w:t>
      </w:r>
    </w:p>
    <w:p w:rsidR="00E94A57" w:rsidRPr="00E94A57" w:rsidRDefault="00E94A57" w:rsidP="00E94A57"/>
    <w:p w:rsidR="00F476D4" w:rsidRDefault="00F476D4" w:rsidP="00F476D4">
      <w:pPr>
        <w:pStyle w:val="Heading1"/>
        <w:shd w:val="clear" w:color="auto" w:fill="FFFFFF"/>
        <w:jc w:val="center"/>
        <w:rPr>
          <w:rFonts w:ascii="Arial" w:hAnsi="Arial" w:cs="Arial"/>
          <w:b w:val="0"/>
          <w:color w:val="auto"/>
          <w:sz w:val="32"/>
          <w:szCs w:val="32"/>
        </w:rPr>
      </w:pPr>
      <w:r>
        <w:rPr>
          <w:rFonts w:ascii="Arial" w:hAnsi="Arial" w:cs="Arial"/>
          <w:b w:val="0"/>
          <w:color w:val="auto"/>
          <w:sz w:val="32"/>
          <w:szCs w:val="32"/>
        </w:rPr>
        <w:t>Consultation Process</w:t>
      </w:r>
      <w:r w:rsidR="009C026A">
        <w:rPr>
          <w:rFonts w:ascii="Arial" w:hAnsi="Arial" w:cs="Arial"/>
          <w:b w:val="0"/>
          <w:color w:val="auto"/>
          <w:sz w:val="32"/>
          <w:szCs w:val="32"/>
        </w:rPr>
        <w:t xml:space="preserve"> </w:t>
      </w:r>
    </w:p>
    <w:p w:rsidR="00F476D4" w:rsidRDefault="00627D5F" w:rsidP="00F476D4">
      <w:pPr>
        <w:pStyle w:val="Heading1"/>
        <w:shd w:val="clear" w:color="auto" w:fill="FFFFFF"/>
        <w:jc w:val="center"/>
        <w:rPr>
          <w:rFonts w:ascii="Arial" w:hAnsi="Arial" w:cs="Arial"/>
          <w:color w:val="auto"/>
        </w:rPr>
      </w:pPr>
      <w:r>
        <w:rPr>
          <w:rFonts w:ascii="Arial" w:hAnsi="Arial" w:cs="Arial"/>
          <w:color w:val="auto"/>
        </w:rPr>
        <w:t>May</w:t>
      </w:r>
      <w:r w:rsidR="001E550E">
        <w:rPr>
          <w:rFonts w:ascii="Arial" w:hAnsi="Arial" w:cs="Arial"/>
          <w:color w:val="auto"/>
        </w:rPr>
        <w:t xml:space="preserve"> 2</w:t>
      </w:r>
      <w:r>
        <w:rPr>
          <w:rFonts w:ascii="Arial" w:hAnsi="Arial" w:cs="Arial"/>
          <w:color w:val="auto"/>
        </w:rPr>
        <w:t>5</w:t>
      </w:r>
      <w:r>
        <w:rPr>
          <w:rFonts w:ascii="Arial" w:hAnsi="Arial" w:cs="Arial"/>
          <w:color w:val="auto"/>
          <w:vertAlign w:val="superscript"/>
        </w:rPr>
        <w:t>th</w:t>
      </w:r>
      <w:r w:rsidR="001E550E">
        <w:rPr>
          <w:rFonts w:ascii="Arial" w:hAnsi="Arial" w:cs="Arial"/>
          <w:color w:val="auto"/>
        </w:rPr>
        <w:t xml:space="preserve"> – August </w:t>
      </w:r>
      <w:r>
        <w:rPr>
          <w:rFonts w:ascii="Arial" w:hAnsi="Arial" w:cs="Arial"/>
          <w:color w:val="auto"/>
        </w:rPr>
        <w:t>2</w:t>
      </w:r>
      <w:r w:rsidR="001E550E">
        <w:rPr>
          <w:rFonts w:ascii="Arial" w:hAnsi="Arial" w:cs="Arial"/>
          <w:color w:val="auto"/>
        </w:rPr>
        <w:t>4</w:t>
      </w:r>
      <w:r w:rsidR="001E550E" w:rsidRPr="001E550E">
        <w:rPr>
          <w:rFonts w:ascii="Arial" w:hAnsi="Arial" w:cs="Arial"/>
          <w:color w:val="auto"/>
          <w:vertAlign w:val="superscript"/>
        </w:rPr>
        <w:t>th</w:t>
      </w:r>
      <w:r w:rsidR="001E550E">
        <w:rPr>
          <w:rFonts w:ascii="Arial" w:hAnsi="Arial" w:cs="Arial"/>
          <w:color w:val="auto"/>
        </w:rPr>
        <w:t xml:space="preserve"> 2015</w:t>
      </w:r>
    </w:p>
    <w:p w:rsidR="009A0DF1" w:rsidRDefault="009A0DF1" w:rsidP="009A0DF1">
      <w:pPr>
        <w:pStyle w:val="NormalWeb"/>
        <w:shd w:val="clear" w:color="auto" w:fill="FFFFFF"/>
        <w:rPr>
          <w:rFonts w:ascii="Arial" w:hAnsi="Arial" w:cs="Arial"/>
        </w:rPr>
      </w:pPr>
    </w:p>
    <w:p w:rsidR="00627D5F" w:rsidRDefault="009A0DF1" w:rsidP="00FB1E0F">
      <w:pPr>
        <w:pStyle w:val="NormalWeb"/>
        <w:shd w:val="clear" w:color="auto" w:fill="FFFFFF"/>
        <w:spacing w:line="276" w:lineRule="auto"/>
        <w:rPr>
          <w:rFonts w:ascii="Arial" w:hAnsi="Arial" w:cs="Arial"/>
        </w:rPr>
      </w:pPr>
      <w:r w:rsidRPr="00E94A57">
        <w:rPr>
          <w:rFonts w:ascii="Arial" w:hAnsi="Arial" w:cs="Arial"/>
        </w:rPr>
        <w:t xml:space="preserve">The </w:t>
      </w:r>
      <w:r w:rsidR="00D3662A">
        <w:rPr>
          <w:rFonts w:ascii="Arial" w:hAnsi="Arial" w:cs="Arial"/>
        </w:rPr>
        <w:t>S</w:t>
      </w:r>
      <w:r w:rsidR="00627D5F">
        <w:rPr>
          <w:rFonts w:ascii="Arial" w:hAnsi="Arial" w:cs="Arial"/>
        </w:rPr>
        <w:t xml:space="preserve">exually </w:t>
      </w:r>
      <w:r w:rsidR="00D3662A">
        <w:rPr>
          <w:rFonts w:ascii="Arial" w:hAnsi="Arial" w:cs="Arial"/>
        </w:rPr>
        <w:t>T</w:t>
      </w:r>
      <w:r w:rsidR="00627D5F">
        <w:rPr>
          <w:rFonts w:ascii="Arial" w:hAnsi="Arial" w:cs="Arial"/>
        </w:rPr>
        <w:t xml:space="preserve">ransmitted </w:t>
      </w:r>
      <w:r w:rsidR="00D3662A">
        <w:rPr>
          <w:rFonts w:ascii="Arial" w:hAnsi="Arial" w:cs="Arial"/>
        </w:rPr>
        <w:t>I</w:t>
      </w:r>
      <w:r w:rsidR="00627D5F">
        <w:rPr>
          <w:rFonts w:ascii="Arial" w:hAnsi="Arial" w:cs="Arial"/>
        </w:rPr>
        <w:t>nfections (STI) guidelines</w:t>
      </w:r>
      <w:r w:rsidR="00D3662A">
        <w:rPr>
          <w:rFonts w:ascii="Arial" w:hAnsi="Arial" w:cs="Arial"/>
        </w:rPr>
        <w:t xml:space="preserve"> development group</w:t>
      </w:r>
      <w:r w:rsidR="00627D5F">
        <w:rPr>
          <w:rFonts w:ascii="Arial" w:hAnsi="Arial" w:cs="Arial"/>
        </w:rPr>
        <w:t xml:space="preserve">, a subgroup of the HPSC Outbreak Subcommittee </w:t>
      </w:r>
      <w:r w:rsidR="00E94A57" w:rsidRPr="00E94A57">
        <w:rPr>
          <w:rFonts w:ascii="Arial" w:hAnsi="Arial" w:cs="Arial"/>
        </w:rPr>
        <w:t>of the HPSC Scientific Advisory Committee</w:t>
      </w:r>
      <w:r w:rsidR="00627D5F">
        <w:rPr>
          <w:rFonts w:ascii="Arial" w:hAnsi="Arial" w:cs="Arial"/>
        </w:rPr>
        <w:t>,</w:t>
      </w:r>
      <w:r w:rsidR="009B561E">
        <w:rPr>
          <w:rFonts w:ascii="Arial" w:hAnsi="Arial" w:cs="Arial"/>
        </w:rPr>
        <w:t xml:space="preserve"> </w:t>
      </w:r>
      <w:r w:rsidRPr="00E94A57">
        <w:rPr>
          <w:rFonts w:ascii="Arial" w:hAnsi="Arial" w:cs="Arial"/>
        </w:rPr>
        <w:t xml:space="preserve">is developing </w:t>
      </w:r>
      <w:r w:rsidR="009B561E">
        <w:rPr>
          <w:rFonts w:ascii="Arial" w:hAnsi="Arial" w:cs="Arial"/>
        </w:rPr>
        <w:t>a guideline</w:t>
      </w:r>
      <w:r w:rsidR="00627D5F">
        <w:rPr>
          <w:rFonts w:ascii="Arial" w:hAnsi="Arial" w:cs="Arial"/>
        </w:rPr>
        <w:t xml:space="preserve"> on the management of outbreaks of sexually transmitted infections</w:t>
      </w:r>
      <w:r w:rsidRPr="00E94A57">
        <w:rPr>
          <w:rFonts w:ascii="Arial" w:hAnsi="Arial" w:cs="Arial"/>
        </w:rPr>
        <w:t xml:space="preserve">.  </w:t>
      </w:r>
      <w:r w:rsidR="00627D5F">
        <w:rPr>
          <w:rFonts w:ascii="Arial" w:hAnsi="Arial" w:cs="Arial"/>
        </w:rPr>
        <w:t xml:space="preserve">The guidance is intended to form an appendix to the overall outbreak guidance document, which is currently in development. It can also be used as a standalone document. </w:t>
      </w:r>
    </w:p>
    <w:p w:rsidR="009A0DF1" w:rsidRDefault="00DA35CF" w:rsidP="00FB1E0F">
      <w:pPr>
        <w:pStyle w:val="NormalWeb"/>
        <w:shd w:val="clear" w:color="auto" w:fill="FFFFFF"/>
        <w:spacing w:line="276" w:lineRule="auto"/>
        <w:rPr>
          <w:rFonts w:ascii="Arial" w:hAnsi="Arial" w:cs="Arial"/>
        </w:rPr>
      </w:pPr>
      <w:r>
        <w:rPr>
          <w:rFonts w:ascii="Arial" w:hAnsi="Arial" w:cs="Arial"/>
        </w:rPr>
        <w:t xml:space="preserve">The guideline is available on the HPSC website </w:t>
      </w:r>
      <w:hyperlink r:id="rId8" w:history="1">
        <w:r w:rsidRPr="0055268F">
          <w:rPr>
            <w:rStyle w:val="Hyperlink"/>
            <w:rFonts w:ascii="Arial" w:hAnsi="Arial" w:cs="Arial"/>
            <w:b/>
          </w:rPr>
          <w:t>here</w:t>
        </w:r>
      </w:hyperlink>
      <w:r>
        <w:rPr>
          <w:rFonts w:ascii="Arial" w:hAnsi="Arial" w:cs="Arial"/>
        </w:rPr>
        <w:t xml:space="preserve">. </w:t>
      </w:r>
      <w:r w:rsidR="009A0DF1" w:rsidRPr="00E94A57">
        <w:rPr>
          <w:rFonts w:ascii="Arial" w:hAnsi="Arial" w:cs="Arial"/>
        </w:rPr>
        <w:t>Stakeholders are now invited to comment on the provisional guideline recommendations</w:t>
      </w:r>
      <w:r w:rsidR="009A0DF1">
        <w:rPr>
          <w:rFonts w:ascii="Arial" w:hAnsi="Arial" w:cs="Arial"/>
        </w:rPr>
        <w:t>, using the proforma below</w:t>
      </w:r>
      <w:r w:rsidR="009A0DF1" w:rsidRPr="007F60C3">
        <w:rPr>
          <w:rFonts w:ascii="Arial" w:hAnsi="Arial" w:cs="Arial"/>
        </w:rPr>
        <w:t>.</w:t>
      </w:r>
    </w:p>
    <w:p w:rsidR="009A0DF1" w:rsidRPr="007F60C3" w:rsidRDefault="009A0DF1" w:rsidP="009A0DF1">
      <w:pPr>
        <w:pStyle w:val="NormalWeb"/>
        <w:shd w:val="clear" w:color="auto" w:fill="FFFFFF"/>
        <w:rPr>
          <w:rFonts w:ascii="Arial" w:hAnsi="Arial" w:cs="Arial"/>
        </w:rPr>
      </w:pPr>
    </w:p>
    <w:p w:rsidR="00233CBC" w:rsidRPr="007F60C3" w:rsidRDefault="00FB1E0F" w:rsidP="009A0DF1">
      <w:pPr>
        <w:pStyle w:val="NormalWeb"/>
        <w:shd w:val="clear" w:color="auto" w:fill="FFFFFF"/>
        <w:rPr>
          <w:rFonts w:ascii="Arial" w:hAnsi="Arial" w:cs="Arial"/>
          <w:b/>
        </w:rPr>
      </w:pPr>
      <w:r>
        <w:rPr>
          <w:rFonts w:ascii="Arial" w:hAnsi="Arial" w:cs="Arial"/>
          <w:b/>
        </w:rPr>
        <w:t>We would ask you to consider:</w:t>
      </w:r>
    </w:p>
    <w:p w:rsidR="00233CBC" w:rsidRDefault="00233CBC" w:rsidP="00FB1E0F">
      <w:pPr>
        <w:numPr>
          <w:ilvl w:val="0"/>
          <w:numId w:val="1"/>
        </w:numPr>
        <w:shd w:val="clear" w:color="auto" w:fill="FFFFFF"/>
        <w:spacing w:after="120"/>
        <w:ind w:left="714" w:hanging="357"/>
        <w:rPr>
          <w:rFonts w:ascii="Arial" w:hAnsi="Arial" w:cs="Arial"/>
        </w:rPr>
      </w:pPr>
      <w:proofErr w:type="gramStart"/>
      <w:r>
        <w:rPr>
          <w:rFonts w:ascii="Arial" w:hAnsi="Arial" w:cs="Arial"/>
        </w:rPr>
        <w:t>the</w:t>
      </w:r>
      <w:proofErr w:type="gramEnd"/>
      <w:r>
        <w:rPr>
          <w:rFonts w:ascii="Arial" w:hAnsi="Arial" w:cs="Arial"/>
        </w:rPr>
        <w:t xml:space="preserve"> generic descriptions of the roles and responsibilities</w:t>
      </w:r>
      <w:bookmarkStart w:id="1" w:name="_GoBack"/>
      <w:bookmarkEnd w:id="1"/>
      <w:r>
        <w:rPr>
          <w:rFonts w:ascii="Arial" w:hAnsi="Arial" w:cs="Arial"/>
        </w:rPr>
        <w:t xml:space="preserve"> of members of the Outbreak Control Team in Section 5, page 6.</w:t>
      </w:r>
    </w:p>
    <w:p w:rsidR="009A0DF1" w:rsidRDefault="009A0DF1" w:rsidP="00FB1E0F">
      <w:pPr>
        <w:numPr>
          <w:ilvl w:val="0"/>
          <w:numId w:val="1"/>
        </w:numPr>
        <w:shd w:val="clear" w:color="auto" w:fill="FFFFFF"/>
        <w:spacing w:after="120"/>
        <w:ind w:left="714" w:hanging="357"/>
        <w:rPr>
          <w:rFonts w:ascii="Arial" w:hAnsi="Arial" w:cs="Arial"/>
        </w:rPr>
      </w:pPr>
      <w:r w:rsidRPr="00511723">
        <w:rPr>
          <w:rFonts w:ascii="Arial" w:hAnsi="Arial" w:cs="Arial"/>
        </w:rPr>
        <w:t>points or areas that are not covered, but which appear to fall wi</w:t>
      </w:r>
      <w:r w:rsidR="00233CBC">
        <w:rPr>
          <w:rFonts w:ascii="Arial" w:hAnsi="Arial" w:cs="Arial"/>
        </w:rPr>
        <w:t>thin the scope of the guideline</w:t>
      </w:r>
    </w:p>
    <w:p w:rsidR="009A0DF1" w:rsidRPr="00511723" w:rsidRDefault="009A0DF1" w:rsidP="00FB1E0F">
      <w:pPr>
        <w:numPr>
          <w:ilvl w:val="0"/>
          <w:numId w:val="1"/>
        </w:numPr>
        <w:shd w:val="clear" w:color="auto" w:fill="FFFFFF"/>
        <w:spacing w:after="120"/>
        <w:ind w:left="714" w:hanging="357"/>
        <w:rPr>
          <w:rFonts w:ascii="Arial" w:hAnsi="Arial" w:cs="Arial"/>
        </w:rPr>
      </w:pPr>
      <w:r w:rsidRPr="00511723">
        <w:rPr>
          <w:rFonts w:ascii="Arial" w:hAnsi="Arial" w:cs="Arial"/>
        </w:rPr>
        <w:t xml:space="preserve">potential inconsistencies or any disagreement with your interpretation of the evidence </w:t>
      </w:r>
    </w:p>
    <w:p w:rsidR="009A0DF1" w:rsidRPr="00511723" w:rsidRDefault="009A0DF1" w:rsidP="00FB1E0F">
      <w:pPr>
        <w:numPr>
          <w:ilvl w:val="0"/>
          <w:numId w:val="1"/>
        </w:numPr>
        <w:shd w:val="clear" w:color="auto" w:fill="FFFFFF"/>
        <w:spacing w:after="120"/>
        <w:ind w:left="714" w:hanging="357"/>
        <w:rPr>
          <w:rFonts w:ascii="Arial" w:hAnsi="Arial" w:cs="Arial"/>
        </w:rPr>
      </w:pPr>
      <w:r w:rsidRPr="00511723">
        <w:rPr>
          <w:rFonts w:ascii="Arial" w:hAnsi="Arial" w:cs="Arial"/>
        </w:rPr>
        <w:t>the practical value of the provisi</w:t>
      </w:r>
      <w:r w:rsidR="00511723" w:rsidRPr="00511723">
        <w:rPr>
          <w:rFonts w:ascii="Arial" w:hAnsi="Arial" w:cs="Arial"/>
        </w:rPr>
        <w:t>onal guideline recommendations</w:t>
      </w:r>
    </w:p>
    <w:p w:rsidR="00627D5F" w:rsidRDefault="00627D5F" w:rsidP="003B51E9">
      <w:pPr>
        <w:shd w:val="clear" w:color="auto" w:fill="FFFFFF"/>
        <w:spacing w:after="120"/>
        <w:rPr>
          <w:rStyle w:val="Strong"/>
          <w:rFonts w:ascii="Arial" w:hAnsi="Arial" w:cs="Arial"/>
          <w:sz w:val="24"/>
          <w:szCs w:val="24"/>
        </w:rPr>
      </w:pPr>
    </w:p>
    <w:p w:rsidR="009A0DF1" w:rsidRPr="003B51E9" w:rsidRDefault="009A0DF1" w:rsidP="003B51E9">
      <w:pPr>
        <w:shd w:val="clear" w:color="auto" w:fill="FFFFFF"/>
        <w:spacing w:after="120"/>
        <w:rPr>
          <w:rFonts w:ascii="Arial" w:hAnsi="Arial" w:cs="Arial"/>
          <w:sz w:val="24"/>
          <w:szCs w:val="24"/>
        </w:rPr>
      </w:pPr>
      <w:r w:rsidRPr="003B51E9">
        <w:rPr>
          <w:rStyle w:val="Strong"/>
          <w:rFonts w:ascii="Arial" w:hAnsi="Arial" w:cs="Arial"/>
          <w:sz w:val="24"/>
          <w:szCs w:val="24"/>
        </w:rPr>
        <w:t>How to submit your comments</w:t>
      </w:r>
      <w:r w:rsidRPr="003B51E9">
        <w:rPr>
          <w:rFonts w:ascii="Arial" w:hAnsi="Arial" w:cs="Arial"/>
          <w:sz w:val="24"/>
          <w:szCs w:val="24"/>
        </w:rPr>
        <w:t xml:space="preserve">: </w:t>
      </w:r>
    </w:p>
    <w:p w:rsidR="00627D5F" w:rsidRPr="00627D5F" w:rsidRDefault="009A0DF1" w:rsidP="003B51E9">
      <w:pPr>
        <w:shd w:val="clear" w:color="auto" w:fill="FFFFFF"/>
        <w:spacing w:after="120"/>
        <w:rPr>
          <w:rFonts w:ascii="Arial" w:hAnsi="Arial" w:cs="Arial"/>
        </w:rPr>
      </w:pPr>
      <w:r w:rsidRPr="007F60C3">
        <w:rPr>
          <w:rFonts w:ascii="Arial" w:hAnsi="Arial" w:cs="Arial"/>
        </w:rPr>
        <w:t xml:space="preserve">Please </w:t>
      </w:r>
      <w:r>
        <w:rPr>
          <w:rFonts w:ascii="Arial" w:hAnsi="Arial" w:cs="Arial"/>
        </w:rPr>
        <w:t xml:space="preserve">complete the </w:t>
      </w:r>
      <w:r w:rsidRPr="007F60C3">
        <w:rPr>
          <w:rFonts w:ascii="Arial" w:hAnsi="Arial" w:cs="Arial"/>
        </w:rPr>
        <w:t xml:space="preserve">proforma </w:t>
      </w:r>
      <w:r>
        <w:rPr>
          <w:rFonts w:ascii="Arial" w:hAnsi="Arial" w:cs="Arial"/>
        </w:rPr>
        <w:t>below</w:t>
      </w:r>
      <w:r w:rsidR="00D3662A">
        <w:rPr>
          <w:rFonts w:ascii="Arial" w:hAnsi="Arial" w:cs="Arial"/>
        </w:rPr>
        <w:t xml:space="preserve"> </w:t>
      </w:r>
      <w:r>
        <w:rPr>
          <w:rFonts w:ascii="Arial" w:hAnsi="Arial" w:cs="Arial"/>
        </w:rPr>
        <w:t xml:space="preserve">electronically and </w:t>
      </w:r>
      <w:r w:rsidRPr="007F60C3">
        <w:rPr>
          <w:rFonts w:ascii="Arial" w:hAnsi="Arial" w:cs="Arial"/>
        </w:rPr>
        <w:t xml:space="preserve">return by email to </w:t>
      </w:r>
      <w:hyperlink r:id="rId9" w:history="1">
        <w:r w:rsidR="00AD62E6" w:rsidRPr="003A62CE">
          <w:rPr>
            <w:rStyle w:val="Hyperlink"/>
            <w:rFonts w:ascii="Arial" w:hAnsi="Arial" w:cs="Arial"/>
          </w:rPr>
          <w:t>sticonsultation@hpsc.ie</w:t>
        </w:r>
      </w:hyperlink>
      <w:r w:rsidR="00AD62E6">
        <w:rPr>
          <w:rFonts w:ascii="Arial" w:hAnsi="Arial" w:cs="Arial"/>
        </w:rPr>
        <w:t xml:space="preserve"> </w:t>
      </w:r>
    </w:p>
    <w:p w:rsidR="009A0DF1" w:rsidRPr="003B51E9" w:rsidRDefault="009A0DF1" w:rsidP="009A0DF1">
      <w:pPr>
        <w:shd w:val="clear" w:color="auto" w:fill="FFFFFF"/>
        <w:spacing w:before="100" w:beforeAutospacing="1" w:after="100" w:afterAutospacing="1"/>
        <w:rPr>
          <w:rFonts w:ascii="Arial" w:hAnsi="Arial" w:cs="Arial"/>
          <w:b/>
          <w:sz w:val="24"/>
          <w:szCs w:val="24"/>
        </w:rPr>
      </w:pPr>
      <w:r w:rsidRPr="003B51E9">
        <w:rPr>
          <w:rFonts w:ascii="Arial" w:hAnsi="Arial" w:cs="Arial"/>
          <w:b/>
          <w:sz w:val="24"/>
          <w:szCs w:val="24"/>
        </w:rPr>
        <w:t>The final date for submission of comments is</w:t>
      </w:r>
      <w:r w:rsidR="009B561E">
        <w:rPr>
          <w:rFonts w:ascii="Arial" w:hAnsi="Arial" w:cs="Arial"/>
          <w:b/>
          <w:sz w:val="24"/>
          <w:szCs w:val="24"/>
        </w:rPr>
        <w:t xml:space="preserve"> </w:t>
      </w:r>
      <w:r w:rsidR="00233CBC">
        <w:rPr>
          <w:rFonts w:ascii="Arial" w:hAnsi="Arial" w:cs="Arial"/>
          <w:b/>
          <w:sz w:val="24"/>
          <w:szCs w:val="24"/>
        </w:rPr>
        <w:t xml:space="preserve">August </w:t>
      </w:r>
      <w:r w:rsidR="00D3662A">
        <w:rPr>
          <w:rFonts w:ascii="Arial" w:hAnsi="Arial" w:cs="Arial"/>
          <w:b/>
          <w:sz w:val="24"/>
          <w:szCs w:val="24"/>
        </w:rPr>
        <w:t>2</w:t>
      </w:r>
      <w:r w:rsidR="00233CBC">
        <w:rPr>
          <w:rFonts w:ascii="Arial" w:hAnsi="Arial" w:cs="Arial"/>
          <w:b/>
          <w:sz w:val="24"/>
          <w:szCs w:val="24"/>
        </w:rPr>
        <w:t>4</w:t>
      </w:r>
      <w:r w:rsidR="00233CBC" w:rsidRPr="00233CBC">
        <w:rPr>
          <w:rFonts w:ascii="Arial" w:hAnsi="Arial" w:cs="Arial"/>
          <w:b/>
          <w:sz w:val="24"/>
          <w:szCs w:val="24"/>
          <w:vertAlign w:val="superscript"/>
        </w:rPr>
        <w:t>th</w:t>
      </w:r>
      <w:r w:rsidR="00233CBC">
        <w:rPr>
          <w:rFonts w:ascii="Arial" w:hAnsi="Arial" w:cs="Arial"/>
          <w:b/>
          <w:sz w:val="24"/>
          <w:szCs w:val="24"/>
        </w:rPr>
        <w:t xml:space="preserve"> 201</w:t>
      </w:r>
      <w:r w:rsidR="00D3662A">
        <w:rPr>
          <w:rFonts w:ascii="Arial" w:hAnsi="Arial" w:cs="Arial"/>
          <w:b/>
          <w:sz w:val="24"/>
          <w:szCs w:val="24"/>
        </w:rPr>
        <w:t>5</w:t>
      </w:r>
    </w:p>
    <w:p w:rsidR="00627D5F" w:rsidRDefault="00627D5F">
      <w:pPr>
        <w:rPr>
          <w:rFonts w:ascii="Arial" w:hAnsi="Arial" w:cs="Arial"/>
          <w:b/>
          <w:sz w:val="24"/>
          <w:szCs w:val="24"/>
        </w:rPr>
      </w:pPr>
    </w:p>
    <w:p w:rsidR="009A0DF1" w:rsidRPr="003B51E9" w:rsidRDefault="009A0DF1" w:rsidP="00FB1E0F">
      <w:pPr>
        <w:shd w:val="clear" w:color="auto" w:fill="FFFFFF"/>
        <w:spacing w:after="120"/>
        <w:rPr>
          <w:rFonts w:ascii="Arial" w:hAnsi="Arial" w:cs="Arial"/>
          <w:b/>
          <w:sz w:val="24"/>
          <w:szCs w:val="24"/>
        </w:rPr>
      </w:pPr>
      <w:r w:rsidRPr="003B51E9">
        <w:rPr>
          <w:rFonts w:ascii="Arial" w:hAnsi="Arial" w:cs="Arial"/>
          <w:b/>
          <w:sz w:val="24"/>
          <w:szCs w:val="24"/>
        </w:rPr>
        <w:t xml:space="preserve">What will happen to your </w:t>
      </w:r>
      <w:r w:rsidR="00627D5F" w:rsidRPr="003B51E9">
        <w:rPr>
          <w:rFonts w:ascii="Arial" w:hAnsi="Arial" w:cs="Arial"/>
          <w:b/>
          <w:sz w:val="24"/>
          <w:szCs w:val="24"/>
        </w:rPr>
        <w:t>comments?</w:t>
      </w:r>
    </w:p>
    <w:p w:rsidR="009A0DF1" w:rsidRPr="00C36455" w:rsidRDefault="009A0DF1" w:rsidP="00FB1E0F">
      <w:pPr>
        <w:numPr>
          <w:ilvl w:val="0"/>
          <w:numId w:val="2"/>
        </w:numPr>
        <w:shd w:val="clear" w:color="auto" w:fill="FFFFFF"/>
        <w:spacing w:after="120"/>
        <w:ind w:left="714" w:hanging="357"/>
        <w:rPr>
          <w:rFonts w:ascii="Arial" w:hAnsi="Arial" w:cs="Arial"/>
        </w:rPr>
      </w:pPr>
      <w:r w:rsidRPr="00C36455">
        <w:rPr>
          <w:rFonts w:ascii="Arial" w:hAnsi="Arial" w:cs="Arial"/>
        </w:rPr>
        <w:t xml:space="preserve">All comments will be reviewed by the </w:t>
      </w:r>
      <w:r w:rsidR="00627D5F">
        <w:rPr>
          <w:rFonts w:ascii="Arial" w:hAnsi="Arial" w:cs="Arial"/>
        </w:rPr>
        <w:t xml:space="preserve">STI guidelines development subgroup of the </w:t>
      </w:r>
      <w:r w:rsidR="00E94A57" w:rsidRPr="00E94A57">
        <w:rPr>
          <w:rFonts w:ascii="Arial" w:hAnsi="Arial" w:cs="Arial"/>
        </w:rPr>
        <w:t xml:space="preserve">Sub-Committee </w:t>
      </w:r>
      <w:r>
        <w:rPr>
          <w:rFonts w:ascii="Arial" w:hAnsi="Arial" w:cs="Arial"/>
        </w:rPr>
        <w:t xml:space="preserve">of the HPSC </w:t>
      </w:r>
      <w:r w:rsidRPr="00C36455">
        <w:rPr>
          <w:rFonts w:ascii="Arial" w:hAnsi="Arial" w:cs="Arial"/>
        </w:rPr>
        <w:t xml:space="preserve">at the end of </w:t>
      </w:r>
      <w:r>
        <w:rPr>
          <w:rFonts w:ascii="Arial" w:hAnsi="Arial" w:cs="Arial"/>
        </w:rPr>
        <w:t xml:space="preserve">the </w:t>
      </w:r>
      <w:r w:rsidRPr="00C36455">
        <w:rPr>
          <w:rFonts w:ascii="Arial" w:hAnsi="Arial" w:cs="Arial"/>
        </w:rPr>
        <w:t xml:space="preserve">consultation period </w:t>
      </w:r>
    </w:p>
    <w:p w:rsidR="001A24D4" w:rsidRDefault="009A0DF1" w:rsidP="00E94A57">
      <w:pPr>
        <w:numPr>
          <w:ilvl w:val="0"/>
          <w:numId w:val="2"/>
        </w:numPr>
        <w:shd w:val="clear" w:color="auto" w:fill="FFFFFF"/>
        <w:spacing w:after="120"/>
        <w:ind w:left="714" w:hanging="357"/>
      </w:pPr>
      <w:r w:rsidRPr="00E94A57">
        <w:rPr>
          <w:rFonts w:ascii="Arial" w:hAnsi="Arial" w:cs="Arial"/>
        </w:rPr>
        <w:t xml:space="preserve">Comments will be acknowledged by the </w:t>
      </w:r>
      <w:r w:rsidR="00CF61E3">
        <w:rPr>
          <w:rFonts w:ascii="Arial" w:hAnsi="Arial" w:cs="Arial"/>
        </w:rPr>
        <w:t>subgroup secretariat.</w:t>
      </w:r>
      <w:r w:rsidR="001A24D4">
        <w:br w:type="page"/>
      </w:r>
    </w:p>
    <w:p w:rsidR="004B3913" w:rsidRPr="001A24D4" w:rsidRDefault="001A24D4" w:rsidP="001A24D4">
      <w:pPr>
        <w:jc w:val="center"/>
        <w:rPr>
          <w:rFonts w:ascii="Arial" w:hAnsi="Arial" w:cs="Arial"/>
          <w:b/>
          <w:color w:val="808080" w:themeColor="background1" w:themeShade="80"/>
          <w:sz w:val="32"/>
          <w:szCs w:val="32"/>
        </w:rPr>
      </w:pPr>
      <w:r w:rsidRPr="001A24D4">
        <w:rPr>
          <w:rFonts w:ascii="Arial" w:hAnsi="Arial" w:cs="Arial"/>
          <w:b/>
          <w:color w:val="808080" w:themeColor="background1" w:themeShade="80"/>
          <w:sz w:val="32"/>
          <w:szCs w:val="32"/>
        </w:rPr>
        <w:lastRenderedPageBreak/>
        <w:t>Example</w:t>
      </w:r>
    </w:p>
    <w:tbl>
      <w:tblPr>
        <w:tblStyle w:val="TableGrid"/>
        <w:tblW w:w="0" w:type="auto"/>
        <w:tblLook w:val="04A0" w:firstRow="1" w:lastRow="0" w:firstColumn="1" w:lastColumn="0" w:noHBand="0" w:noVBand="1"/>
      </w:tblPr>
      <w:tblGrid>
        <w:gridCol w:w="1242"/>
        <w:gridCol w:w="2694"/>
        <w:gridCol w:w="5306"/>
      </w:tblGrid>
      <w:tr w:rsidR="004B3913" w:rsidRPr="003B51E9" w:rsidTr="001A24D4">
        <w:tc>
          <w:tcPr>
            <w:tcW w:w="1242" w:type="dxa"/>
            <w:tcBorders>
              <w:bottom w:val="double" w:sz="4" w:space="0" w:color="auto"/>
            </w:tcBorders>
          </w:tcPr>
          <w:p w:rsidR="004B3913" w:rsidRPr="003B51E9" w:rsidRDefault="004B3913" w:rsidP="001A24D4">
            <w:pPr>
              <w:spacing w:after="120" w:line="276" w:lineRule="auto"/>
              <w:rPr>
                <w:b/>
                <w:color w:val="365F91" w:themeColor="accent1" w:themeShade="BF"/>
                <w:sz w:val="24"/>
                <w:szCs w:val="24"/>
              </w:rPr>
            </w:pPr>
            <w:r w:rsidRPr="003B51E9">
              <w:rPr>
                <w:b/>
                <w:color w:val="365F91" w:themeColor="accent1" w:themeShade="BF"/>
                <w:sz w:val="24"/>
                <w:szCs w:val="24"/>
              </w:rPr>
              <w:t>Chapter</w:t>
            </w:r>
          </w:p>
        </w:tc>
        <w:tc>
          <w:tcPr>
            <w:tcW w:w="2694" w:type="dxa"/>
            <w:tcBorders>
              <w:bottom w:val="double" w:sz="4" w:space="0" w:color="auto"/>
            </w:tcBorders>
          </w:tcPr>
          <w:p w:rsidR="004B3913" w:rsidRPr="003B51E9" w:rsidRDefault="004B3913" w:rsidP="001A24D4">
            <w:pPr>
              <w:spacing w:after="120" w:line="276" w:lineRule="auto"/>
              <w:rPr>
                <w:b/>
                <w:color w:val="365F91" w:themeColor="accent1" w:themeShade="BF"/>
                <w:sz w:val="24"/>
                <w:szCs w:val="24"/>
              </w:rPr>
            </w:pPr>
            <w:r w:rsidRPr="003B51E9">
              <w:rPr>
                <w:b/>
                <w:color w:val="365F91" w:themeColor="accent1" w:themeShade="BF"/>
                <w:sz w:val="24"/>
                <w:szCs w:val="24"/>
              </w:rPr>
              <w:t>Section</w:t>
            </w:r>
            <w:r w:rsidR="001A24D4" w:rsidRPr="003B51E9">
              <w:rPr>
                <w:b/>
                <w:color w:val="365F91" w:themeColor="accent1" w:themeShade="BF"/>
                <w:sz w:val="24"/>
                <w:szCs w:val="24"/>
              </w:rPr>
              <w:t>, Page</w:t>
            </w:r>
          </w:p>
        </w:tc>
        <w:tc>
          <w:tcPr>
            <w:tcW w:w="5306" w:type="dxa"/>
            <w:tcBorders>
              <w:bottom w:val="double" w:sz="4" w:space="0" w:color="auto"/>
            </w:tcBorders>
          </w:tcPr>
          <w:p w:rsidR="004B3913" w:rsidRPr="003B51E9" w:rsidRDefault="001A24D4" w:rsidP="001A24D4">
            <w:pPr>
              <w:spacing w:after="120" w:line="276" w:lineRule="auto"/>
              <w:rPr>
                <w:b/>
                <w:color w:val="365F91" w:themeColor="accent1" w:themeShade="BF"/>
                <w:sz w:val="24"/>
                <w:szCs w:val="24"/>
              </w:rPr>
            </w:pPr>
            <w:r w:rsidRPr="003B51E9">
              <w:rPr>
                <w:b/>
                <w:color w:val="365F91" w:themeColor="accent1" w:themeShade="BF"/>
                <w:sz w:val="24"/>
                <w:szCs w:val="24"/>
              </w:rPr>
              <w:t>Comment</w:t>
            </w:r>
          </w:p>
        </w:tc>
      </w:tr>
      <w:tr w:rsidR="001A24D4" w:rsidTr="001A24D4">
        <w:tc>
          <w:tcPr>
            <w:tcW w:w="1242" w:type="dxa"/>
            <w:tcBorders>
              <w:top w:val="double" w:sz="4" w:space="0" w:color="auto"/>
            </w:tcBorders>
          </w:tcPr>
          <w:p w:rsidR="001A24D4" w:rsidRPr="00C36455" w:rsidRDefault="001A24D4" w:rsidP="00E34210">
            <w:pPr>
              <w:rPr>
                <w:rFonts w:ascii="Arial" w:hAnsi="Arial" w:cs="Arial"/>
                <w:i/>
                <w:iCs/>
                <w:sz w:val="20"/>
                <w:szCs w:val="20"/>
              </w:rPr>
            </w:pPr>
          </w:p>
        </w:tc>
        <w:tc>
          <w:tcPr>
            <w:tcW w:w="2694" w:type="dxa"/>
            <w:tcBorders>
              <w:top w:val="double" w:sz="4" w:space="0" w:color="auto"/>
            </w:tcBorders>
          </w:tcPr>
          <w:p w:rsidR="001A24D4" w:rsidRPr="00C36455" w:rsidRDefault="001A24D4" w:rsidP="00E34210">
            <w:pPr>
              <w:spacing w:line="360" w:lineRule="auto"/>
              <w:rPr>
                <w:rFonts w:ascii="Arial" w:hAnsi="Arial" w:cs="Arial"/>
                <w:i/>
                <w:iCs/>
                <w:sz w:val="20"/>
                <w:szCs w:val="20"/>
              </w:rPr>
            </w:pPr>
            <w:r>
              <w:rPr>
                <w:rFonts w:ascii="Arial" w:hAnsi="Arial" w:cs="Arial"/>
                <w:i/>
                <w:iCs/>
                <w:sz w:val="20"/>
                <w:szCs w:val="20"/>
              </w:rPr>
              <w:t>General</w:t>
            </w:r>
          </w:p>
        </w:tc>
        <w:tc>
          <w:tcPr>
            <w:tcW w:w="5306" w:type="dxa"/>
            <w:tcBorders>
              <w:top w:val="double" w:sz="4" w:space="0" w:color="auto"/>
            </w:tcBorders>
          </w:tcPr>
          <w:p w:rsidR="001A24D4" w:rsidRPr="00C36455" w:rsidRDefault="001A24D4" w:rsidP="00E34210">
            <w:pPr>
              <w:spacing w:line="360" w:lineRule="auto"/>
              <w:rPr>
                <w:rFonts w:ascii="Arial" w:hAnsi="Arial" w:cs="Arial"/>
                <w:i/>
                <w:iCs/>
                <w:sz w:val="20"/>
                <w:szCs w:val="20"/>
              </w:rPr>
            </w:pPr>
            <w:r w:rsidRPr="00C36455">
              <w:rPr>
                <w:rFonts w:ascii="Arial" w:hAnsi="Arial" w:cs="Arial"/>
                <w:i/>
                <w:iCs/>
                <w:sz w:val="20"/>
                <w:szCs w:val="20"/>
              </w:rPr>
              <w:t>Overall this guidance will be very helpful to clinicians although some ... example comment.</w:t>
            </w:r>
          </w:p>
        </w:tc>
      </w:tr>
      <w:tr w:rsidR="001A24D4" w:rsidTr="001A24D4">
        <w:tc>
          <w:tcPr>
            <w:tcW w:w="1242" w:type="dxa"/>
          </w:tcPr>
          <w:p w:rsidR="001A24D4" w:rsidRPr="00C36455" w:rsidRDefault="001A24D4" w:rsidP="00E34210">
            <w:pPr>
              <w:spacing w:line="360" w:lineRule="auto"/>
              <w:rPr>
                <w:rFonts w:ascii="Arial" w:hAnsi="Arial" w:cs="Arial"/>
                <w:i/>
                <w:iCs/>
                <w:sz w:val="20"/>
                <w:szCs w:val="20"/>
              </w:rPr>
            </w:pPr>
            <w:r>
              <w:rPr>
                <w:rFonts w:ascii="Arial" w:hAnsi="Arial" w:cs="Arial"/>
                <w:i/>
                <w:iCs/>
                <w:sz w:val="20"/>
                <w:szCs w:val="20"/>
              </w:rPr>
              <w:t>Chapter 1</w:t>
            </w:r>
          </w:p>
        </w:tc>
        <w:tc>
          <w:tcPr>
            <w:tcW w:w="2694" w:type="dxa"/>
          </w:tcPr>
          <w:p w:rsidR="001A24D4" w:rsidRPr="00C36455" w:rsidRDefault="001A24D4" w:rsidP="001A24D4">
            <w:pPr>
              <w:spacing w:line="360" w:lineRule="auto"/>
              <w:rPr>
                <w:rFonts w:ascii="Arial" w:hAnsi="Arial" w:cs="Arial"/>
                <w:i/>
                <w:iCs/>
                <w:sz w:val="20"/>
                <w:szCs w:val="20"/>
              </w:rPr>
            </w:pPr>
            <w:r>
              <w:rPr>
                <w:rFonts w:ascii="Arial" w:hAnsi="Arial" w:cs="Arial"/>
                <w:i/>
                <w:iCs/>
                <w:sz w:val="20"/>
                <w:szCs w:val="20"/>
              </w:rPr>
              <w:t xml:space="preserve">Section 1.9, page </w:t>
            </w:r>
            <w:r w:rsidR="00D6214C">
              <w:rPr>
                <w:rFonts w:ascii="Arial" w:hAnsi="Arial" w:cs="Arial"/>
                <w:i/>
                <w:iCs/>
                <w:sz w:val="20"/>
                <w:szCs w:val="20"/>
              </w:rPr>
              <w:t>23</w:t>
            </w:r>
          </w:p>
        </w:tc>
        <w:tc>
          <w:tcPr>
            <w:tcW w:w="5306" w:type="dxa"/>
          </w:tcPr>
          <w:p w:rsidR="001A24D4" w:rsidRPr="00C36455" w:rsidRDefault="001A24D4" w:rsidP="00E34210">
            <w:pPr>
              <w:spacing w:line="360" w:lineRule="auto"/>
              <w:rPr>
                <w:rFonts w:ascii="Arial" w:hAnsi="Arial" w:cs="Arial"/>
                <w:i/>
                <w:iCs/>
                <w:sz w:val="20"/>
                <w:szCs w:val="20"/>
              </w:rPr>
            </w:pPr>
            <w:r w:rsidRPr="00C36455">
              <w:rPr>
                <w:rFonts w:ascii="Arial" w:hAnsi="Arial" w:cs="Arial"/>
                <w:i/>
                <w:sz w:val="20"/>
                <w:szCs w:val="20"/>
              </w:rPr>
              <w:t>The guideline highlights throughout the document where there are gaps in the evidence to support clinical practice. Although these areas are in the main text of the document, it would be helpful if there could be an additional section at the end of each chapter with areas where further research would be helpful. This would support the research agenda and maximise resources.</w:t>
            </w:r>
            <w:r w:rsidRPr="00C36455">
              <w:rPr>
                <w:rFonts w:ascii="Arial" w:hAnsi="Arial" w:cs="Arial"/>
                <w:i/>
                <w:iCs/>
                <w:sz w:val="20"/>
                <w:szCs w:val="20"/>
              </w:rPr>
              <w:t xml:space="preserve"> ... example comment.</w:t>
            </w:r>
          </w:p>
        </w:tc>
      </w:tr>
      <w:tr w:rsidR="001A24D4" w:rsidTr="001A24D4">
        <w:tc>
          <w:tcPr>
            <w:tcW w:w="1242" w:type="dxa"/>
          </w:tcPr>
          <w:p w:rsidR="001A24D4" w:rsidRPr="00C36455" w:rsidRDefault="001A24D4" w:rsidP="001A24D4">
            <w:pPr>
              <w:spacing w:line="360" w:lineRule="auto"/>
              <w:rPr>
                <w:rFonts w:ascii="Arial" w:hAnsi="Arial" w:cs="Arial"/>
                <w:i/>
                <w:iCs/>
                <w:sz w:val="20"/>
                <w:szCs w:val="20"/>
              </w:rPr>
            </w:pPr>
            <w:r>
              <w:rPr>
                <w:rFonts w:ascii="Arial" w:hAnsi="Arial" w:cs="Arial"/>
                <w:i/>
                <w:iCs/>
                <w:sz w:val="20"/>
                <w:szCs w:val="20"/>
              </w:rPr>
              <w:t>Chapter 3</w:t>
            </w:r>
          </w:p>
        </w:tc>
        <w:tc>
          <w:tcPr>
            <w:tcW w:w="2694" w:type="dxa"/>
          </w:tcPr>
          <w:p w:rsidR="001A24D4" w:rsidRPr="00C36455" w:rsidRDefault="001A24D4" w:rsidP="001A24D4">
            <w:pPr>
              <w:spacing w:line="360" w:lineRule="auto"/>
              <w:rPr>
                <w:rFonts w:ascii="Arial" w:hAnsi="Arial" w:cs="Arial"/>
                <w:i/>
                <w:iCs/>
                <w:sz w:val="20"/>
                <w:szCs w:val="20"/>
              </w:rPr>
            </w:pPr>
            <w:r>
              <w:rPr>
                <w:rFonts w:ascii="Arial" w:hAnsi="Arial" w:cs="Arial"/>
                <w:i/>
                <w:iCs/>
                <w:sz w:val="20"/>
                <w:szCs w:val="20"/>
              </w:rPr>
              <w:t xml:space="preserve">Section 3.4, page </w:t>
            </w:r>
            <w:r w:rsidR="00D6214C">
              <w:rPr>
                <w:rFonts w:ascii="Arial" w:hAnsi="Arial" w:cs="Arial"/>
                <w:i/>
                <w:iCs/>
                <w:sz w:val="20"/>
                <w:szCs w:val="20"/>
              </w:rPr>
              <w:t>40</w:t>
            </w:r>
          </w:p>
        </w:tc>
        <w:tc>
          <w:tcPr>
            <w:tcW w:w="5306" w:type="dxa"/>
          </w:tcPr>
          <w:p w:rsidR="001A24D4" w:rsidRPr="00C36455" w:rsidRDefault="001A24D4" w:rsidP="00E34210">
            <w:pPr>
              <w:spacing w:line="360" w:lineRule="auto"/>
              <w:rPr>
                <w:rFonts w:ascii="Arial" w:hAnsi="Arial" w:cs="Arial"/>
                <w:i/>
                <w:iCs/>
                <w:sz w:val="20"/>
                <w:szCs w:val="20"/>
              </w:rPr>
            </w:pPr>
            <w:r w:rsidRPr="00C36455">
              <w:rPr>
                <w:rFonts w:ascii="Arial" w:hAnsi="Arial" w:cs="Arial"/>
                <w:i/>
                <w:iCs/>
                <w:sz w:val="20"/>
                <w:szCs w:val="20"/>
              </w:rPr>
              <w:t>Whilst we agree in principle with ... example comment.</w:t>
            </w:r>
          </w:p>
        </w:tc>
      </w:tr>
      <w:tr w:rsidR="001A24D4" w:rsidTr="001A24D4">
        <w:tc>
          <w:tcPr>
            <w:tcW w:w="1242" w:type="dxa"/>
          </w:tcPr>
          <w:p w:rsidR="001A24D4" w:rsidRPr="00C36455" w:rsidRDefault="001A24D4" w:rsidP="00E34210">
            <w:pPr>
              <w:spacing w:line="360" w:lineRule="auto"/>
              <w:rPr>
                <w:rFonts w:ascii="Arial" w:hAnsi="Arial" w:cs="Arial"/>
                <w:i/>
                <w:iCs/>
                <w:sz w:val="20"/>
                <w:szCs w:val="20"/>
              </w:rPr>
            </w:pPr>
            <w:r>
              <w:rPr>
                <w:rFonts w:ascii="Arial" w:hAnsi="Arial" w:cs="Arial"/>
                <w:i/>
                <w:iCs/>
                <w:sz w:val="20"/>
                <w:szCs w:val="20"/>
              </w:rPr>
              <w:t>Appendix I</w:t>
            </w:r>
          </w:p>
        </w:tc>
        <w:tc>
          <w:tcPr>
            <w:tcW w:w="2694" w:type="dxa"/>
          </w:tcPr>
          <w:p w:rsidR="001A24D4" w:rsidRPr="00C36455" w:rsidRDefault="001A24D4" w:rsidP="001A24D4">
            <w:pPr>
              <w:spacing w:line="360" w:lineRule="auto"/>
              <w:rPr>
                <w:rFonts w:ascii="Arial" w:hAnsi="Arial" w:cs="Arial"/>
                <w:i/>
                <w:iCs/>
                <w:sz w:val="20"/>
                <w:szCs w:val="20"/>
              </w:rPr>
            </w:pPr>
            <w:r>
              <w:rPr>
                <w:rFonts w:ascii="Arial" w:hAnsi="Arial" w:cs="Arial"/>
                <w:i/>
                <w:iCs/>
                <w:sz w:val="20"/>
                <w:szCs w:val="20"/>
              </w:rPr>
              <w:t xml:space="preserve">Section F, page </w:t>
            </w:r>
            <w:r w:rsidR="00D6214C">
              <w:rPr>
                <w:rFonts w:ascii="Arial" w:hAnsi="Arial" w:cs="Arial"/>
                <w:i/>
                <w:iCs/>
                <w:sz w:val="20"/>
                <w:szCs w:val="20"/>
              </w:rPr>
              <w:t>107</w:t>
            </w:r>
          </w:p>
        </w:tc>
        <w:tc>
          <w:tcPr>
            <w:tcW w:w="5306" w:type="dxa"/>
          </w:tcPr>
          <w:p w:rsidR="001A24D4" w:rsidRPr="00C36455" w:rsidRDefault="001A24D4" w:rsidP="00E34210">
            <w:pPr>
              <w:spacing w:line="360" w:lineRule="auto"/>
              <w:rPr>
                <w:rFonts w:ascii="Arial" w:hAnsi="Arial" w:cs="Arial"/>
                <w:i/>
                <w:iCs/>
                <w:sz w:val="20"/>
                <w:szCs w:val="20"/>
              </w:rPr>
            </w:pPr>
            <w:r>
              <w:rPr>
                <w:rFonts w:ascii="Arial" w:hAnsi="Arial" w:cs="Arial"/>
                <w:i/>
                <w:iCs/>
                <w:sz w:val="20"/>
                <w:szCs w:val="20"/>
              </w:rPr>
              <w:t xml:space="preserve">Section F </w:t>
            </w:r>
            <w:r w:rsidRPr="00C36455">
              <w:rPr>
                <w:rFonts w:ascii="Arial" w:hAnsi="Arial" w:cs="Arial"/>
                <w:i/>
                <w:iCs/>
                <w:sz w:val="20"/>
                <w:szCs w:val="20"/>
              </w:rPr>
              <w:t xml:space="preserve"> – this needs to include ... example comment.</w:t>
            </w:r>
          </w:p>
        </w:tc>
      </w:tr>
      <w:tr w:rsidR="001A24D4" w:rsidTr="001A24D4">
        <w:tc>
          <w:tcPr>
            <w:tcW w:w="1242" w:type="dxa"/>
          </w:tcPr>
          <w:p w:rsidR="001A24D4" w:rsidRDefault="001A24D4"/>
        </w:tc>
        <w:tc>
          <w:tcPr>
            <w:tcW w:w="2694" w:type="dxa"/>
          </w:tcPr>
          <w:p w:rsidR="001A24D4" w:rsidRDefault="001A24D4"/>
        </w:tc>
        <w:tc>
          <w:tcPr>
            <w:tcW w:w="5306" w:type="dxa"/>
          </w:tcPr>
          <w:p w:rsidR="001A24D4" w:rsidRDefault="001A24D4"/>
        </w:tc>
      </w:tr>
    </w:tbl>
    <w:p w:rsidR="004B3913" w:rsidRDefault="004B3913"/>
    <w:p w:rsidR="004B3913" w:rsidRDefault="004B3913"/>
    <w:p w:rsidR="004B3913" w:rsidRDefault="004B3913" w:rsidP="004B3913">
      <w:pPr>
        <w:tabs>
          <w:tab w:val="left" w:pos="1870"/>
        </w:tabs>
      </w:pPr>
      <w:r>
        <w:tab/>
      </w:r>
    </w:p>
    <w:p w:rsidR="004B3913" w:rsidRDefault="004B3913"/>
    <w:sectPr w:rsidR="004B3913" w:rsidSect="00570428">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26A" w:rsidRDefault="009C026A" w:rsidP="009C026A">
      <w:pPr>
        <w:spacing w:after="0" w:line="240" w:lineRule="auto"/>
      </w:pPr>
      <w:r>
        <w:separator/>
      </w:r>
    </w:p>
  </w:endnote>
  <w:endnote w:type="continuationSeparator" w:id="0">
    <w:p w:rsidR="009C026A" w:rsidRDefault="009C026A" w:rsidP="009C0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4386529"/>
      <w:docPartObj>
        <w:docPartGallery w:val="Page Numbers (Bottom of Page)"/>
        <w:docPartUnique/>
      </w:docPartObj>
    </w:sdtPr>
    <w:sdtEndPr>
      <w:rPr>
        <w:noProof/>
      </w:rPr>
    </w:sdtEndPr>
    <w:sdtContent>
      <w:p w:rsidR="00AD62E6" w:rsidRDefault="00AD62E6">
        <w:pPr>
          <w:pStyle w:val="Footer"/>
          <w:jc w:val="right"/>
        </w:pPr>
        <w:r>
          <w:fldChar w:fldCharType="begin"/>
        </w:r>
        <w:r>
          <w:instrText xml:space="preserve"> PAGE   \* MERGEFORMAT </w:instrText>
        </w:r>
        <w:r>
          <w:fldChar w:fldCharType="separate"/>
        </w:r>
        <w:r w:rsidR="0055268F">
          <w:rPr>
            <w:noProof/>
          </w:rPr>
          <w:t>1</w:t>
        </w:r>
        <w:r>
          <w:rPr>
            <w:noProof/>
          </w:rPr>
          <w:fldChar w:fldCharType="end"/>
        </w:r>
      </w:p>
    </w:sdtContent>
  </w:sdt>
  <w:p w:rsidR="009C026A" w:rsidRPr="009C026A" w:rsidRDefault="009C026A">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26A" w:rsidRDefault="009C026A" w:rsidP="009C026A">
      <w:pPr>
        <w:spacing w:after="0" w:line="240" w:lineRule="auto"/>
      </w:pPr>
      <w:r>
        <w:separator/>
      </w:r>
    </w:p>
  </w:footnote>
  <w:footnote w:type="continuationSeparator" w:id="0">
    <w:p w:rsidR="009C026A" w:rsidRDefault="009C026A" w:rsidP="009C02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26A" w:rsidRDefault="009C026A">
    <w:pPr>
      <w:pStyle w:val="Header"/>
    </w:pPr>
    <w:r>
      <w:rPr>
        <w:noProof/>
      </w:rPr>
      <w:drawing>
        <wp:inline distT="0" distB="0" distL="0" distR="0" wp14:anchorId="171E8E40" wp14:editId="0A43E959">
          <wp:extent cx="5731510" cy="1036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se hpsc logos togeth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103632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FA3DF5"/>
    <w:multiLevelType w:val="multilevel"/>
    <w:tmpl w:val="6456B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693ACD"/>
    <w:multiLevelType w:val="multilevel"/>
    <w:tmpl w:val="2C24E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913"/>
    <w:rsid w:val="0012229E"/>
    <w:rsid w:val="001A24D4"/>
    <w:rsid w:val="001A4516"/>
    <w:rsid w:val="001E550E"/>
    <w:rsid w:val="00233CBC"/>
    <w:rsid w:val="002D3C58"/>
    <w:rsid w:val="00350A96"/>
    <w:rsid w:val="003B51E9"/>
    <w:rsid w:val="004B3913"/>
    <w:rsid w:val="00511723"/>
    <w:rsid w:val="0055268F"/>
    <w:rsid w:val="00570428"/>
    <w:rsid w:val="00627D5F"/>
    <w:rsid w:val="0077342B"/>
    <w:rsid w:val="009A0DF1"/>
    <w:rsid w:val="009B561E"/>
    <w:rsid w:val="009C026A"/>
    <w:rsid w:val="00A4553B"/>
    <w:rsid w:val="00A629AD"/>
    <w:rsid w:val="00AA2A3E"/>
    <w:rsid w:val="00AC773D"/>
    <w:rsid w:val="00AD62E6"/>
    <w:rsid w:val="00B065A1"/>
    <w:rsid w:val="00CF61E3"/>
    <w:rsid w:val="00D27990"/>
    <w:rsid w:val="00D3662A"/>
    <w:rsid w:val="00D6214C"/>
    <w:rsid w:val="00DA35CF"/>
    <w:rsid w:val="00DE7D51"/>
    <w:rsid w:val="00DF04D7"/>
    <w:rsid w:val="00E07C49"/>
    <w:rsid w:val="00E44745"/>
    <w:rsid w:val="00E82E5C"/>
    <w:rsid w:val="00E94A57"/>
    <w:rsid w:val="00EA1FD4"/>
    <w:rsid w:val="00F476D4"/>
    <w:rsid w:val="00FB1E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A0D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39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A0DF1"/>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rsid w:val="009A0DF1"/>
    <w:rPr>
      <w:strike w:val="0"/>
      <w:dstrike w:val="0"/>
      <w:color w:val="006699"/>
      <w:u w:val="none"/>
      <w:effect w:val="none"/>
    </w:rPr>
  </w:style>
  <w:style w:type="paragraph" w:styleId="NormalWeb">
    <w:name w:val="Normal (Web)"/>
    <w:basedOn w:val="Normal"/>
    <w:rsid w:val="009A0DF1"/>
    <w:pPr>
      <w:spacing w:before="120" w:after="120" w:line="240" w:lineRule="auto"/>
    </w:pPr>
    <w:rPr>
      <w:rFonts w:ascii="Times New Roman" w:eastAsia="Times New Roman" w:hAnsi="Times New Roman" w:cs="Times New Roman"/>
      <w:sz w:val="24"/>
      <w:szCs w:val="24"/>
      <w:lang w:val="en-US" w:eastAsia="en-US"/>
    </w:rPr>
  </w:style>
  <w:style w:type="character" w:styleId="Strong">
    <w:name w:val="Strong"/>
    <w:basedOn w:val="DefaultParagraphFont"/>
    <w:qFormat/>
    <w:rsid w:val="009A0DF1"/>
    <w:rPr>
      <w:b/>
      <w:bCs/>
    </w:rPr>
  </w:style>
  <w:style w:type="paragraph" w:styleId="Header">
    <w:name w:val="header"/>
    <w:basedOn w:val="Normal"/>
    <w:link w:val="HeaderChar"/>
    <w:uiPriority w:val="99"/>
    <w:unhideWhenUsed/>
    <w:rsid w:val="009C02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026A"/>
  </w:style>
  <w:style w:type="paragraph" w:styleId="Footer">
    <w:name w:val="footer"/>
    <w:basedOn w:val="Normal"/>
    <w:link w:val="FooterChar"/>
    <w:uiPriority w:val="99"/>
    <w:unhideWhenUsed/>
    <w:rsid w:val="009C02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026A"/>
  </w:style>
  <w:style w:type="paragraph" w:styleId="BalloonText">
    <w:name w:val="Balloon Text"/>
    <w:basedOn w:val="Normal"/>
    <w:link w:val="BalloonTextChar"/>
    <w:uiPriority w:val="99"/>
    <w:semiHidden/>
    <w:unhideWhenUsed/>
    <w:rsid w:val="009C02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2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A0D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39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9A0DF1"/>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rsid w:val="009A0DF1"/>
    <w:rPr>
      <w:strike w:val="0"/>
      <w:dstrike w:val="0"/>
      <w:color w:val="006699"/>
      <w:u w:val="none"/>
      <w:effect w:val="none"/>
    </w:rPr>
  </w:style>
  <w:style w:type="paragraph" w:styleId="NormalWeb">
    <w:name w:val="Normal (Web)"/>
    <w:basedOn w:val="Normal"/>
    <w:rsid w:val="009A0DF1"/>
    <w:pPr>
      <w:spacing w:before="120" w:after="120" w:line="240" w:lineRule="auto"/>
    </w:pPr>
    <w:rPr>
      <w:rFonts w:ascii="Times New Roman" w:eastAsia="Times New Roman" w:hAnsi="Times New Roman" w:cs="Times New Roman"/>
      <w:sz w:val="24"/>
      <w:szCs w:val="24"/>
      <w:lang w:val="en-US" w:eastAsia="en-US"/>
    </w:rPr>
  </w:style>
  <w:style w:type="character" w:styleId="Strong">
    <w:name w:val="Strong"/>
    <w:basedOn w:val="DefaultParagraphFont"/>
    <w:qFormat/>
    <w:rsid w:val="009A0DF1"/>
    <w:rPr>
      <w:b/>
      <w:bCs/>
    </w:rPr>
  </w:style>
  <w:style w:type="paragraph" w:styleId="Header">
    <w:name w:val="header"/>
    <w:basedOn w:val="Normal"/>
    <w:link w:val="HeaderChar"/>
    <w:uiPriority w:val="99"/>
    <w:unhideWhenUsed/>
    <w:rsid w:val="009C02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026A"/>
  </w:style>
  <w:style w:type="paragraph" w:styleId="Footer">
    <w:name w:val="footer"/>
    <w:basedOn w:val="Normal"/>
    <w:link w:val="FooterChar"/>
    <w:uiPriority w:val="99"/>
    <w:unhideWhenUsed/>
    <w:rsid w:val="009C02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026A"/>
  </w:style>
  <w:style w:type="paragraph" w:styleId="BalloonText">
    <w:name w:val="Balloon Text"/>
    <w:basedOn w:val="Normal"/>
    <w:link w:val="BalloonTextChar"/>
    <w:uiPriority w:val="99"/>
    <w:semiHidden/>
    <w:unhideWhenUsed/>
    <w:rsid w:val="009C02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2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psc.ie/AboutHPSC/ScientificCommittees/Sub-CommitteesofHPSCSAC/OutbreakSub-Committe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iconsultation@hpsc.i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367</Words>
  <Characters>2095</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gilliancullen</dc:creator>
  <cp:lastModifiedBy>Kirsty Mackenzie</cp:lastModifiedBy>
  <cp:revision>2</cp:revision>
  <cp:lastPrinted>2011-10-27T08:55:00Z</cp:lastPrinted>
  <dcterms:created xsi:type="dcterms:W3CDTF">2015-05-20T09:08:00Z</dcterms:created>
  <dcterms:modified xsi:type="dcterms:W3CDTF">2015-05-20T09:08:00Z</dcterms:modified>
</cp:coreProperties>
</file>